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33FAD" w14:textId="77777777" w:rsidR="000359F9" w:rsidRDefault="000359F9" w:rsidP="000359F9">
      <w:pPr>
        <w:pStyle w:val="Heading4"/>
        <w:rPr>
          <w:rFonts w:ascii="Helvetica Neue" w:hAnsi="Helvetica Neue"/>
          <w:sz w:val="21"/>
          <w:szCs w:val="21"/>
        </w:rPr>
      </w:pPr>
      <w:r>
        <w:rPr>
          <w:rStyle w:val="s1"/>
        </w:rPr>
        <w:t>The 1AC’s orientation towards futurity is a political stance in structural and ontological opposition to the queer – attempts at political assimilation merely displace queerness onto others. Only oppositional resistance to the enslavement of the future can contest infinite anti-queer violence</w:t>
      </w:r>
    </w:p>
    <w:p w14:paraId="047EA7E4" w14:textId="77777777" w:rsidR="000359F9" w:rsidRPr="00697330" w:rsidRDefault="000359F9" w:rsidP="000359F9">
      <w:pPr>
        <w:pStyle w:val="Heading4"/>
      </w:pPr>
      <w:r w:rsidRPr="00697330">
        <w:t>Future orientation is grounded in current notions of what family and future mean – the Child is already queer but our focus on the future pushes the child to know the future as heterosexual. This kind of mindset prevents change from happening</w:t>
      </w:r>
    </w:p>
    <w:p w14:paraId="09FB99B7" w14:textId="77777777" w:rsidR="000359F9" w:rsidRPr="00697330" w:rsidRDefault="000359F9" w:rsidP="000359F9">
      <w:pPr>
        <w:tabs>
          <w:tab w:val="left" w:pos="20970"/>
        </w:tabs>
        <w:rPr>
          <w:rStyle w:val="StyleUnderline"/>
          <w:b/>
        </w:rPr>
      </w:pPr>
      <w:r w:rsidRPr="00697330">
        <w:rPr>
          <w:rStyle w:val="Style13ptBold"/>
        </w:rPr>
        <w:t>Halberstam 11.</w:t>
      </w:r>
      <w:r w:rsidRPr="00697330">
        <w:t xml:space="preserve"> </w:t>
      </w:r>
      <w:r w:rsidRPr="00697330">
        <w:rPr>
          <w:sz w:val="16"/>
          <w:szCs w:val="16"/>
        </w:rPr>
        <w:t>J. J. Judith Halberstam, professor of English at the University of Southern California, The Queer Art of Failure, pg. 73</w:t>
      </w:r>
    </w:p>
    <w:p w14:paraId="1444CAB0" w14:textId="77777777" w:rsidR="000359F9" w:rsidRPr="00697330" w:rsidRDefault="000359F9" w:rsidP="000359F9">
      <w:pPr>
        <w:widowControl w:val="0"/>
        <w:autoSpaceDE w:val="0"/>
        <w:autoSpaceDN w:val="0"/>
        <w:adjustRightInd w:val="0"/>
        <w:spacing w:after="240"/>
        <w:rPr>
          <w:rFonts w:cs="Times"/>
          <w:sz w:val="12"/>
          <w:szCs w:val="26"/>
        </w:rPr>
      </w:pPr>
      <w:r w:rsidRPr="00697330">
        <w:rPr>
          <w:rStyle w:val="StyleUnderline"/>
          <w:sz w:val="26"/>
          <w:szCs w:val="26"/>
        </w:rPr>
        <w:t>Queer interventions into kinship studies have taken many forms: some call for new models of family</w:t>
      </w:r>
      <w:r w:rsidRPr="00697330">
        <w:rPr>
          <w:rFonts w:cs="Times"/>
          <w:sz w:val="12"/>
          <w:szCs w:val="26"/>
        </w:rPr>
        <w:t xml:space="preserve"> (Butler’s Antigone as a substitute for Oedi- pus, Weston’s chosen families as a substitute for blood bonds); </w:t>
      </w:r>
      <w:r w:rsidRPr="00697330">
        <w:rPr>
          <w:rStyle w:val="StyleUnderline"/>
          <w:sz w:val="26"/>
          <w:szCs w:val="26"/>
        </w:rPr>
        <w:t>others call for the recognition of friendship ties as kinship; and still others ask that we recognize the difference that gay and lesbian parents make to the very meaning of family. But few scholars call for a de-emphasis on family or a rejection of the family as the form of social organization par excellence</w:t>
      </w:r>
      <w:r w:rsidRPr="00697330">
        <w:rPr>
          <w:rFonts w:cs="Times"/>
          <w:sz w:val="12"/>
          <w:szCs w:val="26"/>
        </w:rPr>
        <w:t xml:space="preserve">. In what follows I examine what happens in popular narrative when characters like Dory do forget their families and in the process ac- cess other modes of relating, belonging, and caring. ∂ </w:t>
      </w:r>
      <w:r w:rsidRPr="00697330">
        <w:rPr>
          <w:rStyle w:val="StyleUnderline"/>
          <w:sz w:val="26"/>
          <w:szCs w:val="26"/>
        </w:rPr>
        <w:t xml:space="preserve">What family promises and what marriage-chasing gays and lesbians </w:t>
      </w:r>
      <w:r w:rsidRPr="00697330">
        <w:rPr>
          <w:rStyle w:val="StyleUnderline"/>
          <w:sz w:val="12"/>
          <w:szCs w:val="26"/>
          <w:u w:val="none"/>
        </w:rPr>
        <w:t>∂</w:t>
      </w:r>
      <w:r w:rsidRPr="00697330">
        <w:rPr>
          <w:rStyle w:val="StyleUnderline"/>
          <w:sz w:val="26"/>
          <w:szCs w:val="26"/>
        </w:rPr>
        <w:t xml:space="preserve"> desire is not simply acceptance and belonging but a form of belonging that binds the past to the present and the present t</w:t>
      </w:r>
      <w:r>
        <w:rPr>
          <w:rStyle w:val="StyleUnderline"/>
          <w:sz w:val="26"/>
          <w:szCs w:val="26"/>
        </w:rPr>
        <w:t>o the future by secur</w:t>
      </w:r>
      <w:r w:rsidRPr="00697330">
        <w:rPr>
          <w:rStyle w:val="StyleUnderline"/>
          <w:sz w:val="26"/>
          <w:szCs w:val="26"/>
        </w:rPr>
        <w:t>ing</w:t>
      </w:r>
      <w:r w:rsidRPr="00697330">
        <w:rPr>
          <w:rFonts w:cs="Times"/>
          <w:sz w:val="12"/>
          <w:szCs w:val="26"/>
        </w:rPr>
        <w:t xml:space="preserve"> what Lee Edelman has called “</w:t>
      </w:r>
      <w:r w:rsidRPr="00697330">
        <w:rPr>
          <w:rStyle w:val="StyleUnderline"/>
          <w:sz w:val="26"/>
          <w:szCs w:val="26"/>
        </w:rPr>
        <w:t>heterofuturity</w:t>
      </w:r>
      <w:r w:rsidRPr="00697330">
        <w:rPr>
          <w:rFonts w:cs="Times"/>
          <w:sz w:val="12"/>
          <w:szCs w:val="26"/>
        </w:rPr>
        <w:t xml:space="preserve">” through the figure of the child. As Edelman argues in </w:t>
      </w:r>
      <w:r w:rsidRPr="00697330">
        <w:rPr>
          <w:rFonts w:cs="Times"/>
          <w:i/>
          <w:iCs/>
          <w:sz w:val="12"/>
          <w:szCs w:val="26"/>
        </w:rPr>
        <w:t xml:space="preserve">No Future </w:t>
      </w:r>
      <w:r w:rsidRPr="00697330">
        <w:rPr>
          <w:rFonts w:cs="Times"/>
          <w:sz w:val="12"/>
          <w:szCs w:val="26"/>
        </w:rPr>
        <w:t xml:space="preserve">and as Kathryn Bond Stockton demonstrates in her book on the queer child, </w:t>
      </w:r>
      <w:r w:rsidRPr="00697330">
        <w:rPr>
          <w:rFonts w:cs="Times"/>
          <w:i/>
          <w:iCs/>
          <w:sz w:val="12"/>
          <w:szCs w:val="26"/>
        </w:rPr>
        <w:t>Growing Sideways</w:t>
      </w:r>
      <w:r w:rsidRPr="00697330">
        <w:rPr>
          <w:rFonts w:cs="Times"/>
          <w:sz w:val="12"/>
          <w:szCs w:val="26"/>
        </w:rPr>
        <w:t xml:space="preserve">, </w:t>
      </w:r>
      <w:r w:rsidRPr="00697330">
        <w:rPr>
          <w:rStyle w:val="StyleUnderline"/>
          <w:sz w:val="26"/>
          <w:szCs w:val="26"/>
        </w:rPr>
        <w:t>the child is always already queer and must therefore quickly be converted to a proto- heterosexual by being pushed through a series of maturational models of growth that project the child as the future and the future as hetero- sexual. Queer culture, with its emphasis on repetition</w:t>
      </w:r>
      <w:r w:rsidRPr="00697330">
        <w:rPr>
          <w:rFonts w:cs="Times"/>
          <w:sz w:val="12"/>
          <w:szCs w:val="26"/>
        </w:rPr>
        <w:t xml:space="preserve"> (Butler), </w:t>
      </w:r>
      <w:r>
        <w:rPr>
          <w:rStyle w:val="StyleUnderline"/>
          <w:sz w:val="26"/>
          <w:szCs w:val="26"/>
        </w:rPr>
        <w:t>horizon</w:t>
      </w:r>
      <w:r w:rsidRPr="00697330">
        <w:rPr>
          <w:rStyle w:val="StyleUnderline"/>
          <w:sz w:val="26"/>
          <w:szCs w:val="26"/>
        </w:rPr>
        <w:t>tality</w:t>
      </w:r>
      <w:r w:rsidRPr="00697330">
        <w:rPr>
          <w:rFonts w:cs="Times"/>
          <w:sz w:val="12"/>
          <w:szCs w:val="26"/>
        </w:rPr>
        <w:t xml:space="preserve"> (Muñoz, Stockton), </w:t>
      </w:r>
      <w:r w:rsidRPr="00697330">
        <w:rPr>
          <w:rStyle w:val="StyleUnderline"/>
          <w:sz w:val="26"/>
          <w:szCs w:val="26"/>
        </w:rPr>
        <w:t>immaturity and a refusal of adulthood</w:t>
      </w:r>
      <w:r w:rsidRPr="00697330">
        <w:rPr>
          <w:rFonts w:cs="Times"/>
          <w:sz w:val="12"/>
          <w:szCs w:val="26"/>
        </w:rPr>
        <w:t xml:space="preserve"> (me), </w:t>
      </w:r>
      <w:r w:rsidRPr="00697330">
        <w:rPr>
          <w:rStyle w:val="StyleUnderline"/>
          <w:sz w:val="26"/>
          <w:szCs w:val="26"/>
        </w:rPr>
        <w:t>where adulthood rhymes with heterosexual parenting, resists a develop- mental model of substitution and instead invests in what Stockton calls “sideways” relations, relations that grow along parallel lines rather than upward and onward. This queer form of antidevelopment requires healthy doses of forgetting and disavowal and proc</w:t>
      </w:r>
      <w:r>
        <w:rPr>
          <w:rStyle w:val="StyleUnderline"/>
          <w:sz w:val="26"/>
          <w:szCs w:val="26"/>
        </w:rPr>
        <w:t>eeds by way of a series of sub</w:t>
      </w:r>
      <w:r w:rsidRPr="00697330">
        <w:rPr>
          <w:rStyle w:val="StyleUnderline"/>
          <w:sz w:val="26"/>
          <w:szCs w:val="26"/>
        </w:rPr>
        <w:t>stitutions</w:t>
      </w:r>
      <w:r w:rsidRPr="00697330">
        <w:rPr>
          <w:rFonts w:cs="Times"/>
          <w:sz w:val="12"/>
          <w:szCs w:val="26"/>
        </w:rPr>
        <w:t xml:space="preserve">. Of course all of culture, as Joseph Roach argues, emerges from the kinetic and even frantic process of what he calls “surrogation”: forms constantly supplant each other while holding on to a vestige of the per- formance they replace in the form of a gesture here, a use of language there. Roach’s work in </w:t>
      </w:r>
      <w:r w:rsidRPr="00697330">
        <w:rPr>
          <w:rFonts w:cs="Times"/>
          <w:i/>
          <w:iCs/>
          <w:sz w:val="12"/>
          <w:szCs w:val="26"/>
        </w:rPr>
        <w:t xml:space="preserve">Cities of the Dead </w:t>
      </w:r>
      <w:r w:rsidRPr="00697330">
        <w:rPr>
          <w:rFonts w:cs="Times"/>
          <w:sz w:val="12"/>
          <w:szCs w:val="26"/>
        </w:rPr>
        <w:t xml:space="preserve">teaches us to find the evidence of long-gone subterranean cultures by reading the traces they leave behind within canonical cultural forms—the other is always buried in the domi- nant. </w:t>
      </w:r>
      <w:r w:rsidRPr="00697330">
        <w:rPr>
          <w:rStyle w:val="StyleUnderline"/>
          <w:sz w:val="26"/>
          <w:szCs w:val="26"/>
        </w:rPr>
        <w:t>Queer culture enacts rupture as substitution as the queer child steps out of the assembly line of heterosexual production and turns toward a new project. This new project holds on to vestiges of the old but distorts the old beyond recognition;</w:t>
      </w:r>
      <w:r w:rsidRPr="00697330">
        <w:rPr>
          <w:rFonts w:cs="Times"/>
          <w:sz w:val="12"/>
          <w:szCs w:val="26"/>
        </w:rPr>
        <w:t xml:space="preserve"> for example, a relation to the father dedicated to social stability in straight culture becomes a daddy-boy relationship in queer contexts dedicated to the sexualization of generational difference. </w:t>
      </w:r>
      <w:r w:rsidRPr="00697330">
        <w:rPr>
          <w:rStyle w:val="StyleUnderline"/>
          <w:sz w:val="26"/>
          <w:szCs w:val="26"/>
        </w:rPr>
        <w:t>The stability of heteronormative models of time and transformation impacts many different models of social change</w:t>
      </w:r>
      <w:r w:rsidRPr="00697330">
        <w:rPr>
          <w:rFonts w:cs="Times"/>
          <w:sz w:val="12"/>
          <w:szCs w:val="26"/>
        </w:rPr>
        <w:t xml:space="preserve">; as J. K. Gibson-Graham point out in her feminist critique of political economy, </w:t>
      </w:r>
      <w:r w:rsidRPr="00697330">
        <w:rPr>
          <w:rStyle w:val="StyleUnderline"/>
          <w:sz w:val="26"/>
          <w:szCs w:val="26"/>
        </w:rPr>
        <w:t>if we represent capitalism, heteropatriarchy, and racist economies as totalizing and in- evitable, as seamless and impermeable, then we have “little possibility of escape” from those systems and few ways of accessing a “non-capitalist imaginary”</w:t>
      </w:r>
      <w:r w:rsidRPr="00697330">
        <w:rPr>
          <w:rFonts w:cs="Times"/>
          <w:sz w:val="12"/>
          <w:szCs w:val="26"/>
        </w:rPr>
        <w:t xml:space="preserve"> (1996: 21). And as Roderick Ferguson argues in his book </w:t>
      </w:r>
      <w:r w:rsidRPr="00697330">
        <w:rPr>
          <w:rFonts w:cs="Times"/>
          <w:i/>
          <w:iCs/>
          <w:sz w:val="12"/>
          <w:szCs w:val="26"/>
        </w:rPr>
        <w:t xml:space="preserve">Aber- rations in Black </w:t>
      </w:r>
      <w:r w:rsidRPr="00697330">
        <w:rPr>
          <w:rFonts w:cs="Times"/>
          <w:sz w:val="12"/>
          <w:szCs w:val="26"/>
        </w:rPr>
        <w:t xml:space="preserve">(2005), the normative temporal and spatial frames of his- torical materialism have ironically forced a congruence between Marx- ist and bourgeois definitions of </w:t>
      </w:r>
      <w:r w:rsidRPr="00697330">
        <w:rPr>
          <w:rFonts w:cs="Times"/>
          <w:i/>
          <w:iCs/>
          <w:sz w:val="12"/>
          <w:szCs w:val="26"/>
        </w:rPr>
        <w:t>civilization</w:t>
      </w:r>
      <w:r w:rsidRPr="00697330">
        <w:rPr>
          <w:rFonts w:cs="Times"/>
          <w:sz w:val="12"/>
          <w:szCs w:val="26"/>
        </w:rPr>
        <w:t xml:space="preserve">, both of which cast racialized nonnormative sexualities as anterior and as signs of disorder and social chaos within an otherwise stable social system. The contingency of queer relations, their uncertainty, irregularity, and even perversity, disregards the so-called natural bonds between memory and futurity, and in the pro- cess make an implicit argument for forgetfulness, albeit one that is rarely reflected in mainstream texts about memory and forgetting. </w:t>
      </w:r>
    </w:p>
    <w:p w14:paraId="2E20872C" w14:textId="77777777" w:rsidR="000359F9" w:rsidRPr="00697330" w:rsidRDefault="000359F9" w:rsidP="000359F9">
      <w:pPr>
        <w:pStyle w:val="Heading4"/>
      </w:pPr>
      <w:r w:rsidRPr="00697330">
        <w:t>The use of future orientation creates a narrow spectrum for what we may consider the future – that queers have no meaning and represent failure through our existence</w:t>
      </w:r>
    </w:p>
    <w:p w14:paraId="30EE7688" w14:textId="77777777" w:rsidR="000359F9" w:rsidRPr="00697330" w:rsidRDefault="000359F9" w:rsidP="000359F9">
      <w:pPr>
        <w:tabs>
          <w:tab w:val="left" w:pos="20970"/>
        </w:tabs>
        <w:rPr>
          <w:rStyle w:val="StyleUnderline"/>
          <w:b/>
        </w:rPr>
      </w:pPr>
      <w:r w:rsidRPr="00697330">
        <w:rPr>
          <w:rStyle w:val="Style13ptBold"/>
        </w:rPr>
        <w:t>Halberstam 11.</w:t>
      </w:r>
      <w:r w:rsidRPr="00697330">
        <w:t xml:space="preserve"> </w:t>
      </w:r>
      <w:r w:rsidRPr="00697330">
        <w:rPr>
          <w:sz w:val="16"/>
          <w:szCs w:val="16"/>
        </w:rPr>
        <w:t>J. J. Judith Halberstam, professor of English at the University of Southern California, The Queer Art of Failure, pg. 106</w:t>
      </w:r>
    </w:p>
    <w:p w14:paraId="47460730" w14:textId="77777777" w:rsidR="000359F9" w:rsidRPr="00697330" w:rsidRDefault="000359F9" w:rsidP="000359F9">
      <w:pPr>
        <w:widowControl w:val="0"/>
        <w:autoSpaceDE w:val="0"/>
        <w:autoSpaceDN w:val="0"/>
        <w:adjustRightInd w:val="0"/>
        <w:spacing w:after="240"/>
        <w:rPr>
          <w:rFonts w:cs="Times"/>
          <w:sz w:val="12"/>
          <w:szCs w:val="26"/>
        </w:rPr>
      </w:pPr>
      <w:r w:rsidRPr="00697330">
        <w:rPr>
          <w:rFonts w:cs="Times"/>
          <w:sz w:val="12"/>
          <w:szCs w:val="26"/>
        </w:rPr>
        <w:t xml:space="preserve">Failure animates much of the work of another California artist, Judie Bamber. For her the thematics of losing and failure appear within visu- ality itself as a line or threshold beyond which you cannot see, a horizon that marks the place of the failure of vision and visibility itself. While José E. Muñoz casts queerness as a kind of horizon for political aspiration (Muñoz: 2010), </w:t>
      </w:r>
      <w:r w:rsidRPr="00697330">
        <w:rPr>
          <w:rStyle w:val="StyleUnderline"/>
          <w:sz w:val="26"/>
          <w:szCs w:val="26"/>
        </w:rPr>
        <w:t>Bamber’s horizons remind us that possibility and dis- appointment often live side by side. Bamber’s seascapes, painted over a period of two years, make a record of the subtle but finite shifts in mood, tone, and visuality that “nature” offers to the gaze.</w:t>
      </w:r>
      <w:r w:rsidRPr="00697330">
        <w:rPr>
          <w:rFonts w:cs="Times"/>
          <w:sz w:val="12"/>
          <w:szCs w:val="26"/>
        </w:rPr>
        <w:t xml:space="preserve"> In her work the land- scape becomes cinematic, not one overwhelming painterly whole but a series of fragments presented montage style within a series that has a be- ginning and a definite end. </w:t>
      </w:r>
      <w:r w:rsidRPr="00697330">
        <w:rPr>
          <w:rStyle w:val="StyleUnderline"/>
          <w:sz w:val="26"/>
          <w:szCs w:val="26"/>
        </w:rPr>
        <w:t xml:space="preserve">When we look at the paintings we are under- </w:t>
      </w:r>
      <w:r w:rsidRPr="00697330">
        <w:rPr>
          <w:rStyle w:val="StyleUnderline"/>
          <w:sz w:val="12"/>
          <w:szCs w:val="26"/>
          <w:u w:val="none"/>
        </w:rPr>
        <w:t>∂</w:t>
      </w:r>
      <w:r w:rsidRPr="00697330">
        <w:rPr>
          <w:rStyle w:val="StyleUnderline"/>
          <w:sz w:val="26"/>
          <w:szCs w:val="26"/>
        </w:rPr>
        <w:t xml:space="preserve"> whelmed by nature and begin to see nature as technology, as an apparatus</w:t>
      </w:r>
      <w:r w:rsidRPr="00697330">
        <w:rPr>
          <w:rFonts w:cs="Times"/>
          <w:sz w:val="12"/>
          <w:szCs w:val="26"/>
        </w:rPr>
        <w:t xml:space="preserve"> (see plates 7 and 8). The viewer is drawn over and over to the horizon, the line between sky and sea that sometimes shocks with its intensity and at other times disappears altogether. </w:t>
      </w:r>
      <w:r w:rsidRPr="00697330">
        <w:rPr>
          <w:rStyle w:val="StyleUnderline"/>
          <w:sz w:val="26"/>
          <w:szCs w:val="26"/>
        </w:rPr>
        <w:t>The ebb and flow of the horizon in and out of vision is in many ways the theme of the series as a whole. Bam- ber’s depiction of the horizon as limit speaks to a queer temporality and a queer spatiality that resist a notion of art as capable of seeing beyond and in fact makes art about limitation, about the narrowness of the future, the weightiness of the past, and the urgency of the present</w:t>
      </w:r>
      <w:r w:rsidRPr="00697330">
        <w:rPr>
          <w:rFonts w:cs="Times"/>
          <w:sz w:val="12"/>
          <w:szCs w:val="26"/>
        </w:rPr>
        <w:t xml:space="preserve">. ∂ This notion of a limited horizon returns us to Edelman’s book </w:t>
      </w:r>
      <w:r w:rsidRPr="00697330">
        <w:rPr>
          <w:rFonts w:cs="Times"/>
          <w:i/>
          <w:iCs/>
          <w:sz w:val="12"/>
          <w:szCs w:val="26"/>
        </w:rPr>
        <w:t xml:space="preserve">No Future </w:t>
      </w:r>
      <w:r w:rsidRPr="00697330">
        <w:rPr>
          <w:rFonts w:cs="Times"/>
          <w:sz w:val="12"/>
          <w:szCs w:val="26"/>
        </w:rPr>
        <w:t xml:space="preserve">(2005), in that both </w:t>
      </w:r>
      <w:r w:rsidRPr="00697330">
        <w:rPr>
          <w:rStyle w:val="StyleUnderline"/>
          <w:sz w:val="26"/>
          <w:szCs w:val="26"/>
        </w:rPr>
        <w:t>Bamber and Edelman seem to be inscribing queer failure into time and space</w:t>
      </w:r>
      <w:r w:rsidRPr="00697330">
        <w:rPr>
          <w:rFonts w:cs="Times"/>
          <w:sz w:val="12"/>
          <w:szCs w:val="26"/>
        </w:rPr>
        <w:t xml:space="preserve">. While </w:t>
      </w:r>
      <w:r w:rsidRPr="00697330">
        <w:rPr>
          <w:rStyle w:val="StyleUnderline"/>
          <w:sz w:val="26"/>
          <w:szCs w:val="26"/>
        </w:rPr>
        <w:t>for Bamber the seascapes drain nature of its romance and its sense of eternity, for Edelman the queer is always and inevitably linked to the death drive; indeed death and finitude are the very meaning of queerness, if it has meaning at all</w:t>
      </w:r>
      <w:r w:rsidRPr="00697330">
        <w:rPr>
          <w:rFonts w:cs="Times"/>
          <w:sz w:val="12"/>
          <w:szCs w:val="26"/>
        </w:rPr>
        <w:t xml:space="preserve">, and Edelman uses this sense of the queer in order to propose a relentless form of negativity in place of the forward-looking, reproductive, and heteronormative poli- tics of hope that animates all too many political projects. My attempt to link queerness to an aesthetic project organized around the logic of fail- ure converses with Edelman’s effort to detach queerness from the opti- mistic and humanistic activity of making meaning. </w:t>
      </w:r>
      <w:r w:rsidRPr="00697330">
        <w:rPr>
          <w:rStyle w:val="StyleUnderline"/>
          <w:sz w:val="26"/>
          <w:szCs w:val="26"/>
        </w:rPr>
        <w:t>The queer subject,</w:t>
      </w:r>
      <w:r w:rsidRPr="00697330">
        <w:rPr>
          <w:rFonts w:cs="Times"/>
          <w:sz w:val="12"/>
          <w:szCs w:val="26"/>
        </w:rPr>
        <w:t xml:space="preserve"> he argues, </w:t>
      </w:r>
      <w:r w:rsidRPr="00697330">
        <w:rPr>
          <w:rStyle w:val="StyleUnderline"/>
          <w:sz w:val="26"/>
          <w:szCs w:val="26"/>
        </w:rPr>
        <w:t>has been bound epistemologically to negativity, to nonsense,</w:t>
      </w:r>
      <w:r w:rsidRPr="00697330">
        <w:rPr>
          <w:rFonts w:cs="Times"/>
          <w:sz w:val="12"/>
          <w:szCs w:val="26"/>
        </w:rPr>
        <w:t xml:space="preserve"> to antiproduction, </w:t>
      </w:r>
      <w:r w:rsidRPr="00697330">
        <w:rPr>
          <w:rStyle w:val="StyleUnderline"/>
          <w:sz w:val="26"/>
          <w:szCs w:val="26"/>
        </w:rPr>
        <w:t>and to unintelligibility, and instead of fighting this char- acterization by dragging queerness into recognition, he proposes that we embrace the negativity that we anyway structurally represent.</w:t>
      </w:r>
      <w:r w:rsidRPr="00697330">
        <w:rPr>
          <w:rFonts w:cs="Times"/>
          <w:sz w:val="12"/>
          <w:szCs w:val="26"/>
        </w:rPr>
        <w:t xml:space="preserve"> Edelman’s polemic about futurity ascribes to queerness the function of the limit; while the heteronormative political imagination propels itself forward in time and space through the indisputably positive image of the child, and while it projects itself back on the past through the dignified image of the parent, the queer subject stands between heterosexual optimism and its realization. ∂ </w:t>
      </w:r>
    </w:p>
    <w:p w14:paraId="648E96B9" w14:textId="77777777" w:rsidR="000359F9" w:rsidRPr="00D90D9B" w:rsidRDefault="000359F9" w:rsidP="000359F9">
      <w:pPr>
        <w:pStyle w:val="Heading4"/>
      </w:pPr>
      <w:r w:rsidRPr="00D90D9B">
        <w:t>We should use the academic setting to facilitate change, rather than roleplaying as policymakers we should take this chance to challenge the heteronormative structures that pervade the Academy.</w:t>
      </w:r>
    </w:p>
    <w:p w14:paraId="4D3932B0" w14:textId="77777777" w:rsidR="000359F9" w:rsidRPr="00440FFA" w:rsidRDefault="000359F9" w:rsidP="000359F9">
      <w:pPr>
        <w:rPr>
          <w:sz w:val="21"/>
        </w:rPr>
      </w:pPr>
      <w:r w:rsidRPr="00440FFA">
        <w:rPr>
          <w:rStyle w:val="Style13ptBold"/>
        </w:rPr>
        <w:t>Elias 2003</w:t>
      </w:r>
      <w:r w:rsidRPr="00440FFA">
        <w:t xml:space="preserve"> </w:t>
      </w:r>
      <w:r w:rsidRPr="00440FFA">
        <w:rPr>
          <w:sz w:val="21"/>
        </w:rPr>
        <w:t>(John Elias, Professor at San Francisco University, Journal of Homosexuality, Vol. 45, no. 2/3/4, p. 64, 2003)</w:t>
      </w:r>
    </w:p>
    <w:p w14:paraId="265A70F7" w14:textId="77777777" w:rsidR="000359F9" w:rsidRPr="00D1297E" w:rsidRDefault="000359F9" w:rsidP="000359F9">
      <w:pPr>
        <w:rPr>
          <w:sz w:val="12"/>
        </w:rPr>
      </w:pPr>
      <w:r w:rsidRPr="00D1297E">
        <w:rPr>
          <w:sz w:val="12"/>
        </w:rPr>
        <w:t xml:space="preserve">Akin to organized religion and the biomedical field, </w:t>
      </w:r>
      <w:r w:rsidRPr="00D1297E">
        <w:rPr>
          <w:u w:val="single"/>
        </w:rPr>
        <w:t>the educational system has been a major offender</w:t>
      </w:r>
      <w:r w:rsidRPr="00D1297E">
        <w:rPr>
          <w:sz w:val="12"/>
        </w:rPr>
        <w:t xml:space="preserve">. Wedded to disseminating the idea that heterosexuality is the ultimate and best form of sexuality, “Schools have maintained, by social custom and with reinforcement from the law, </w:t>
      </w:r>
      <w:r w:rsidRPr="00D1297E">
        <w:rPr>
          <w:u w:val="single"/>
        </w:rPr>
        <w:t>the promotion of the heterosexual family as predominant, and therefore the essence of normal</w:t>
      </w:r>
      <w:r w:rsidRPr="00D1297E">
        <w:rPr>
          <w:sz w:val="12"/>
        </w:rPr>
        <w:t xml:space="preserve">. From having been presumed to be ‘normal,’ heterosexual behavior has gained status as the right, good, and ideal lifestyle” (Leck, 1999, p. 259). </w:t>
      </w:r>
      <w:r w:rsidRPr="00D1297E">
        <w:rPr>
          <w:b/>
          <w:u w:val="single"/>
        </w:rPr>
        <w:t>School culture in general is fraught with heteronormativit</w:t>
      </w:r>
      <w:r w:rsidRPr="00D1297E">
        <w:rPr>
          <w:u w:val="single"/>
        </w:rPr>
        <w:t>y</w:t>
      </w:r>
      <w:r w:rsidRPr="00D1297E">
        <w:rPr>
          <w:sz w:val="12"/>
        </w:rPr>
        <w:t xml:space="preserve">. </w:t>
      </w:r>
      <w:r w:rsidRPr="00D1297E">
        <w:rPr>
          <w:u w:val="single"/>
        </w:rPr>
        <w:t>Our society has long viewed queer sexualities as “. . . deviant, sinful, or both, and our schools are populated by adolescent peers and adult educators who share these heterosexual values</w:t>
      </w:r>
      <w:r w:rsidRPr="00D1297E">
        <w:rPr>
          <w:sz w:val="12"/>
        </w:rPr>
        <w:t xml:space="preserve">” (Ginsberg, 1999, p. 55). Simply put, heteronormativity and sexual prejudice pervade the curriculum at the elementary, secondary, and post-secondary levels (for examples of this and ways of intervening, see: Adams, Bell, &amp; Griffin, 1997; Letts &amp; Sears, 1999; Lovaas, Baroudi, &amp; Collins, 2002; Yep, 2002). </w:t>
      </w:r>
      <w:r w:rsidRPr="00D1297E">
        <w:rPr>
          <w:u w:val="single"/>
        </w:rPr>
        <w:t>Besides the hegemonic hold schools have had regarding a heterosexual bias, school culture continues to devote much energy to maintaining “. . . the status quo of our dominant social institutions, which are hierarchical, authoritarian, and unequal, competitive, racist, sexist, and homophobic</w:t>
      </w:r>
      <w:r w:rsidRPr="00D1297E">
        <w:rPr>
          <w:sz w:val="12"/>
        </w:rPr>
        <w:t xml:space="preserve">” (Arnstine, 1995, p. 183). While there has been modest success in addressing various forms of prejudice in schools (Kumashiro, 2001), </w:t>
      </w:r>
      <w:r w:rsidRPr="00D1297E">
        <w:rPr>
          <w:u w:val="single"/>
        </w:rPr>
        <w:t>what is sorely lacking is serious attention to how the intersections of race, class, sexuality and gender are interwoven and dialectically create prejudice</w:t>
      </w:r>
      <w:r w:rsidRPr="00D1297E">
        <w:rPr>
          <w:sz w:val="12"/>
        </w:rPr>
        <w:t xml:space="preserve"> (e.g., racism, classism, and hetero[sexism]). </w:t>
      </w:r>
      <w:r w:rsidRPr="00D1297E">
        <w:rPr>
          <w:u w:val="single"/>
        </w:rPr>
        <w:t>Schools would be an ideal site to interrogate, and begin to erode, the kind of hegemony upon which heterosexism rests and is supporte</w:t>
      </w:r>
      <w:r w:rsidRPr="00D1297E">
        <w:rPr>
          <w:sz w:val="12"/>
        </w:rPr>
        <w:t xml:space="preserve">d. To date, not much is being done in a systematic fashion to disrupt the ways in which U.S. schooling has perpetuated such hierarchies. It seems to me that sexuality education is ripe for the opportunity to challenge heterosexism in school culture; however, public school-based sexuality education is presently in serious crisis, as it has turned mostly to the business of pushing for abstinence- only sexuality education. According to federal legislation, states that accept funding for this form of sexuality education require that young people are taught to abstain from sexual activity until they get married. This has numerous implications for relationship construction; a more in-depth description and analysis of this form of sexuality education will follow later in this essay.  </w:t>
      </w:r>
    </w:p>
    <w:p w14:paraId="76AC8433" w14:textId="77777777" w:rsidR="000359F9" w:rsidRPr="00442A9C" w:rsidRDefault="000359F9" w:rsidP="000359F9">
      <w:pPr>
        <w:pStyle w:val="Heading4"/>
        <w:rPr>
          <w:sz w:val="28"/>
          <w:lang w:bidi="en-US"/>
        </w:rPr>
      </w:pPr>
      <w:r w:rsidRPr="00442A9C">
        <w:rPr>
          <w:sz w:val="28"/>
          <w:lang w:bidi="en-US"/>
        </w:rPr>
        <w:t>The alt is to embrace queer negativity and refuse hope for the future</w:t>
      </w:r>
    </w:p>
    <w:p w14:paraId="53589BE0" w14:textId="77777777" w:rsidR="000359F9" w:rsidRPr="00442A9C" w:rsidRDefault="000359F9" w:rsidP="000359F9">
      <w:pPr>
        <w:rPr>
          <w:sz w:val="21"/>
        </w:rPr>
      </w:pPr>
      <w:r w:rsidRPr="00442A9C">
        <w:rPr>
          <w:rStyle w:val="Style13ptBold"/>
        </w:rPr>
        <w:t xml:space="preserve">Edelman 1 </w:t>
      </w:r>
      <w:r w:rsidRPr="00442A9C">
        <w:rPr>
          <w:sz w:val="21"/>
        </w:rPr>
        <w:t>(Lee, Professor of English Literature, No Future: Queer Theory and the Death Drive, pp. 5-8)</w:t>
      </w:r>
    </w:p>
    <w:p w14:paraId="0960CA41" w14:textId="77777777" w:rsidR="000359F9" w:rsidRDefault="000359F9" w:rsidP="000359F9">
      <w:pPr>
        <w:rPr>
          <w:sz w:val="8"/>
        </w:rPr>
      </w:pPr>
      <w:r w:rsidRPr="00D1297E">
        <w:rPr>
          <w:u w:val="single"/>
        </w:rPr>
        <w:t>Rather than rejecting, with liberal discourse, this ascription of negativity to the queer, we might, as I argue, do better to consider accepting and even embracing it.</w:t>
      </w:r>
      <w:r w:rsidRPr="00D1297E">
        <w:rPr>
          <w:sz w:val="8"/>
        </w:rPr>
        <w:t xml:space="preserve"> Not in the hope of forging thereby some more perfect social order</w:t>
      </w:r>
      <w:r w:rsidRPr="00D1297E">
        <w:rPr>
          <w:u w:val="single"/>
        </w:rPr>
        <w:t>- such a hope</w:t>
      </w:r>
      <w:r w:rsidRPr="00D1297E">
        <w:rPr>
          <w:sz w:val="8"/>
        </w:rPr>
        <w:t xml:space="preserve">, after all, </w:t>
      </w:r>
      <w:r w:rsidRPr="00D1297E">
        <w:rPr>
          <w:u w:val="single"/>
        </w:rPr>
        <w:t>would only reproduce the constraining mandate of futurism, just as any such order would equally occasion the negativity of the queer- but rather to refuse the insistence of hope itself as affirmation, which is always affirmation of an order whose refusal will register as unthinkable, irresponsible, inhumane</w:t>
      </w:r>
      <w:r w:rsidRPr="00D1297E">
        <w:rPr>
          <w:sz w:val="8"/>
        </w:rPr>
        <w:t xml:space="preserve">. And the trump card of affirmation? Always the question: If not this, what? Always the demand to translate the insistence, the pulsive force, of negativity into some determinate stance or "position" whose determination would thus negate it: always the imperative to immure it in some stable and positive form. When I argue, then, that </w:t>
      </w:r>
      <w:r w:rsidRPr="00D1297E">
        <w:rPr>
          <w:u w:val="single"/>
        </w:rPr>
        <w:t>we might do well to attempt what is surely impossible-to withdraw our allegiance, however compulsory, from a reality based on the Ponzi scheme of reproductive futurism - I do not intend to propose some "good" that will thereby be assured.</w:t>
      </w:r>
      <w:r w:rsidRPr="00D1297E">
        <w:rPr>
          <w:sz w:val="8"/>
        </w:rPr>
        <w:t xml:space="preserve"> To the contrary, I mean to insist that nothing, and certainly not what we call the "good," can ever have any assurance at all in the order of the Symbolic. Abjuring fidelity to a futurism that's always purchased at our expense, though bound, as Symbolic subjects consigned to figure the Symbolic's undoing, to the necessary contradiction of trying to turn its intelligibility against itself, we might rather, figuratively, cast our vote for "none of the above," for the primacy of a constant no in response to the law of the Symbolic, which would echo that law's foundational act, its self constituting negation. </w:t>
      </w:r>
      <w:r w:rsidRPr="00D1297E">
        <w:rPr>
          <w:u w:val="single"/>
        </w:rPr>
        <w:t>The structuring optimism of politics to which the order of meaning commits us, installing as it does the perpetual hope of reaching meaning through signification, is always, I would argue, a negation of this primal, constitutive, and negative act</w:t>
      </w:r>
      <w:r w:rsidRPr="00D1297E">
        <w:rPr>
          <w:sz w:val="8"/>
        </w:rPr>
        <w:t xml:space="preserve">. And the various positivities produced in its wake by the logic of political hope depend on the mathematical illusion that negated negations might somehow escape, and not redouble, such negativity. My polemic thus stakes its fortunes on a truly hopeless wager: that </w:t>
      </w:r>
      <w:r w:rsidRPr="00D1297E">
        <w:rPr>
          <w:u w:val="single"/>
        </w:rPr>
        <w:t>taking the Symbolic's negativity to the very letter of the law, that attending to the persistence of something internal to reason that reason refuses, that turning the force of queerness against all subjects, however queer, can afford an access to the jouissance that at once defines and negates us.</w:t>
      </w:r>
      <w:r w:rsidRPr="00D1297E">
        <w:rPr>
          <w:sz w:val="8"/>
        </w:rPr>
        <w:t xml:space="preserve"> Or better: can expose the constancy, the inescapability, of such access to jouissance in the social order itself, even if that order can access its constant access to jouissance only in the process of abjecting that constancy of access onto the queer. In contrast to what Theodor Adorno describes as the "grimness with which a man clings to himself, as to the immediately sure and substantial," the queerness of which I speak would deliberately sever us from ourselves, from the assurance, that is, of knowing ourselves and hence of knowing our "good." 4 </w:t>
      </w:r>
      <w:r w:rsidRPr="00D1297E">
        <w:rPr>
          <w:u w:val="single"/>
        </w:rPr>
        <w:t xml:space="preserve">Such queerness proposes, in place of the good, something I want to call "better," though it promises, in more than one sense of the phrase, absolutely nothing. </w:t>
      </w:r>
      <w:r w:rsidRPr="00D1297E">
        <w:rPr>
          <w:sz w:val="8"/>
        </w:rPr>
        <w:t xml:space="preserve">I connect this something better with Lacan's characterization of what he calls "truth," where truth does not assure happiness, or even, as Lacan makes clear, the good. Instead, it names only the insistent particularity of the subject, impossible fully to articulate and Intend[ing] toward the real." 6 Lacan, therefore, can write of this truth: The quality that best characterizes it is that of being the true Wunsch, which was at the origin of an aberrant or atypical behavior. We encounter this Wunsch with its particular, irreducible character as a modification that presupposes no other form of normalization than that of an experience of pleasure or of pain, but of a final experience from whence it springs and is subsequently preserved in the depths of the subject in an irreducible form. The Wunsch does not have the character of a universal law but, on the contrary, of the most particular of laws-even if it is universal that this particularity is to be found in every human being.' </w:t>
      </w:r>
      <w:r w:rsidRPr="00D1297E">
        <w:rPr>
          <w:u w:val="single"/>
        </w:rPr>
        <w:t xml:space="preserve">Truth, like queerness, irreducibly linked to the "aberrant or atypical", to what chafes against "normalization," finds its value not in a good susceptible to generalization, but only in the stubborn particularity that voids every notion of a general good. </w:t>
      </w:r>
      <w:r w:rsidRPr="00D1297E">
        <w:rPr>
          <w:b/>
          <w:u w:val="single"/>
        </w:rPr>
        <w:t>The embrace of queer negativity, then, can have no justification if justification requires it to reinforce some positive social value; its value, instead, resides in its challenge to value as defined by the social, and thus in its radical challenge to the very value of the social itself.</w:t>
      </w:r>
      <w:r w:rsidRPr="00D1297E">
        <w:rPr>
          <w:sz w:val="8"/>
        </w:rPr>
        <w:t xml:space="preserve">' </w:t>
      </w:r>
    </w:p>
    <w:p w14:paraId="613BC5FA" w14:textId="77777777" w:rsidR="000359F9" w:rsidRDefault="000359F9" w:rsidP="000359F9">
      <w:pPr>
        <w:pStyle w:val="Heading1"/>
      </w:pPr>
      <w:r>
        <w:t>Frontlines</w:t>
      </w:r>
    </w:p>
    <w:p w14:paraId="4D26E1A9" w14:textId="77777777" w:rsidR="000359F9" w:rsidRPr="000359F9" w:rsidRDefault="000359F9" w:rsidP="000359F9">
      <w:pPr>
        <w:pStyle w:val="Heading2"/>
      </w:pPr>
      <w:r>
        <w:t xml:space="preserve">2NC </w:t>
      </w:r>
    </w:p>
    <w:p w14:paraId="67ABE210" w14:textId="77777777" w:rsidR="000359F9" w:rsidRPr="00E1265C" w:rsidRDefault="000359F9" w:rsidP="000359F9">
      <w:pPr>
        <w:pStyle w:val="Heading3"/>
        <w:rPr>
          <w:rFonts w:asciiTheme="minorHAnsi" w:hAnsiTheme="minorHAnsi"/>
        </w:rPr>
      </w:pPr>
      <w:r>
        <w:rPr>
          <w:rFonts w:asciiTheme="minorHAnsi" w:hAnsiTheme="minorHAnsi"/>
        </w:rPr>
        <w:t>A2</w:t>
      </w:r>
      <w:bookmarkStart w:id="0" w:name="_GoBack"/>
      <w:bookmarkEnd w:id="0"/>
      <w:r w:rsidRPr="00E1265C">
        <w:rPr>
          <w:rFonts w:asciiTheme="minorHAnsi" w:hAnsiTheme="minorHAnsi"/>
        </w:rPr>
        <w:t xml:space="preserve"> Perm do both</w:t>
      </w:r>
    </w:p>
    <w:p w14:paraId="480C7F91" w14:textId="77777777" w:rsidR="000359F9" w:rsidRPr="00615B60" w:rsidRDefault="000359F9" w:rsidP="000359F9">
      <w:pPr>
        <w:pStyle w:val="Heading4"/>
      </w:pPr>
      <w:r w:rsidRPr="00615B60">
        <w:t>You just don’t get a perm- there is no future for the queer body- the combination of our advocacy and your narrative of positive change destroys both</w:t>
      </w:r>
    </w:p>
    <w:p w14:paraId="2286ABE7" w14:textId="77777777" w:rsidR="000359F9" w:rsidRPr="00615B60" w:rsidRDefault="000359F9" w:rsidP="000359F9">
      <w:r w:rsidRPr="00615B60">
        <w:rPr>
          <w:rStyle w:val="Style13ptBold"/>
        </w:rPr>
        <w:t xml:space="preserve">Edelman  </w:t>
      </w:r>
      <w:r w:rsidRPr="00615B60">
        <w:t>(Lee, Professor of English Literature, No Future: Queer Theory and the Death Drive, pp. 8)</w:t>
      </w:r>
    </w:p>
    <w:p w14:paraId="237D88AC" w14:textId="77777777" w:rsidR="000359F9" w:rsidRPr="00615B60" w:rsidRDefault="000359F9" w:rsidP="000359F9">
      <w:pPr>
        <w:rPr>
          <w:rFonts w:cs="Cordia New"/>
          <w:sz w:val="14"/>
          <w:szCs w:val="26"/>
        </w:rPr>
      </w:pPr>
      <w:r w:rsidRPr="00615B60">
        <w:rPr>
          <w:rStyle w:val="StyleUnderline"/>
          <w:rFonts w:cs="Cordia New"/>
          <w:sz w:val="26"/>
          <w:szCs w:val="26"/>
        </w:rPr>
        <w:t>The embrace of queer negativity</w:t>
      </w:r>
      <w:r w:rsidRPr="00615B60">
        <w:rPr>
          <w:rFonts w:cs="Cordia New"/>
          <w:sz w:val="14"/>
          <w:szCs w:val="26"/>
        </w:rPr>
        <w:t xml:space="preserve">, then, </w:t>
      </w:r>
      <w:r w:rsidRPr="00615B60">
        <w:rPr>
          <w:rStyle w:val="Emphasis"/>
          <w:rFonts w:cs="Cordia New"/>
          <w:sz w:val="26"/>
          <w:szCs w:val="26"/>
        </w:rPr>
        <w:t>can have no justification if justification requires it to reinforce some positive social value</w:t>
      </w:r>
      <w:r w:rsidRPr="00615B60">
        <w:rPr>
          <w:rFonts w:cs="Cordia New"/>
          <w:sz w:val="14"/>
          <w:szCs w:val="26"/>
        </w:rPr>
        <w:t xml:space="preserve">; its value, </w:t>
      </w:r>
      <w:r w:rsidRPr="00615B60">
        <w:rPr>
          <w:rStyle w:val="StyleUnderline"/>
          <w:rFonts w:cs="Cordia New"/>
          <w:sz w:val="26"/>
          <w:szCs w:val="26"/>
        </w:rPr>
        <w:t>instead, resides in its challenge to value as defined by the social</w:t>
      </w:r>
      <w:r w:rsidRPr="00615B60">
        <w:rPr>
          <w:rFonts w:cs="Cordia New"/>
          <w:sz w:val="14"/>
          <w:szCs w:val="26"/>
        </w:rPr>
        <w:t xml:space="preserve">, and thus in its radical challenge to the very value of the social itself.' </w:t>
      </w:r>
      <w:r w:rsidRPr="00615B60">
        <w:rPr>
          <w:rStyle w:val="StyleUnderline"/>
          <w:rFonts w:cs="Cordia New"/>
          <w:sz w:val="26"/>
          <w:szCs w:val="26"/>
        </w:rPr>
        <w:t>For by figuring a refusal of the coercive belief in the paramount value of futurity</w:t>
      </w:r>
      <w:r w:rsidRPr="00615B60">
        <w:rPr>
          <w:rFonts w:cs="Cordia New"/>
          <w:sz w:val="14"/>
          <w:szCs w:val="26"/>
        </w:rPr>
        <w:t xml:space="preserve">, while refusing as well any backdoor hope for dialectical access to meaning, </w:t>
      </w:r>
      <w:r w:rsidRPr="00615B60">
        <w:rPr>
          <w:rStyle w:val="StyleUnderline"/>
          <w:rFonts w:cs="Cordia New"/>
          <w:sz w:val="26"/>
          <w:szCs w:val="26"/>
        </w:rPr>
        <w:t>the queer dispossesses the social order of the ground on which it rests</w:t>
      </w:r>
      <w:r w:rsidRPr="00615B60">
        <w:rPr>
          <w:rFonts w:cs="Cordia New"/>
          <w:sz w:val="14"/>
          <w:szCs w:val="26"/>
        </w:rPr>
        <w:t xml:space="preserve">: a faith in the consistent reality of the social- and by extension, of the social subject; a faith that politics, whether of the left or of the right, implicitly affirms. </w:t>
      </w:r>
      <w:r w:rsidRPr="00615B60">
        <w:rPr>
          <w:rStyle w:val="StyleUnderline"/>
          <w:rFonts w:cs="Cordia New"/>
          <w:sz w:val="26"/>
          <w:szCs w:val="26"/>
        </w:rPr>
        <w:t>Divesting such politics of its thematic trappings</w:t>
      </w:r>
      <w:r w:rsidRPr="00615B60">
        <w:rPr>
          <w:rFonts w:cs="Cordia New"/>
          <w:sz w:val="14"/>
          <w:szCs w:val="26"/>
        </w:rPr>
        <w:t>, bracketing the particularity of its various proposals for social organization, t</w:t>
      </w:r>
      <w:r w:rsidRPr="00615B60">
        <w:rPr>
          <w:rStyle w:val="StyleUnderline"/>
          <w:rFonts w:cs="Cordia New"/>
          <w:sz w:val="26"/>
          <w:szCs w:val="26"/>
        </w:rPr>
        <w:t>he queer insists that politics is always a politics of the signifier</w:t>
      </w:r>
      <w:r w:rsidRPr="00615B60">
        <w:rPr>
          <w:rFonts w:cs="Cordia New"/>
          <w:sz w:val="14"/>
          <w:szCs w:val="26"/>
        </w:rPr>
        <w:t xml:space="preserve">, or even of what Lacan will often refer to as "the letter." It serves to shore up a reality always unmoored by signification and lacking any guarantee. To say as much is not, of course, to deny the experiential violence that frequently troubles social reality or the apparent consistency with which it bears-and thereby bears down on-us all. </w:t>
      </w:r>
      <w:r w:rsidRPr="00615B60">
        <w:rPr>
          <w:rStyle w:val="StyleUnderline"/>
          <w:rFonts w:cs="Cordia New"/>
          <w:sz w:val="26"/>
          <w:szCs w:val="26"/>
        </w:rPr>
        <w:t>It is</w:t>
      </w:r>
      <w:r w:rsidRPr="00615B60">
        <w:rPr>
          <w:rFonts w:cs="Cordia New"/>
          <w:sz w:val="14"/>
          <w:szCs w:val="26"/>
        </w:rPr>
        <w:t xml:space="preserve">, rather, </w:t>
      </w:r>
      <w:r w:rsidRPr="00615B60">
        <w:rPr>
          <w:rStyle w:val="StyleUnderline"/>
          <w:rFonts w:cs="Cordia New"/>
          <w:sz w:val="26"/>
          <w:szCs w:val="26"/>
        </w:rPr>
        <w:t xml:space="preserve">to suggest that queerness exposes the obliquity of our relation to what we experience in and as social reality, alerting us to the fantasies structurally necessary in order to sustain it </w:t>
      </w:r>
      <w:r w:rsidRPr="00615B60">
        <w:rPr>
          <w:rFonts w:cs="Cordia New"/>
          <w:sz w:val="14"/>
          <w:szCs w:val="26"/>
        </w:rPr>
        <w:t xml:space="preserve">and engaging those fantasies through the figural logics, the linguistic structures, that shape them. If it aims effectively to intervene in the reproduction of such a reality-an intervention that may well take the form of figuring that reality's abortion, then queer theory must always insist on its connection to the vicissitudes of the sign, </w:t>
      </w:r>
      <w:r w:rsidRPr="00615B60">
        <w:rPr>
          <w:rStyle w:val="StyleUnderline"/>
          <w:rFonts w:cs="Cordia New"/>
          <w:sz w:val="26"/>
          <w:szCs w:val="26"/>
        </w:rPr>
        <w:t>to the tension between the signifier's collapse into the letter's cadaverous materiality and its participation in a system of reference wherein it generates meaning itself.</w:t>
      </w:r>
      <w:r w:rsidRPr="00615B60">
        <w:rPr>
          <w:rFonts w:cs="Cordia New"/>
          <w:sz w:val="14"/>
          <w:szCs w:val="26"/>
        </w:rPr>
        <w:t xml:space="preserve"> As a particular story, in other words, of why storytelling fails, one that takes both the value and the burden of that failure upon itself, queer theory, as I construe it, marks the "other" side of politics: the "side" where narrative realization and derealization overlap, where the energies ofvitalization ceaselessly turn against themselves; the "side" outside all political sides, committed as they are, on every side, to futurism's unquestioned good. </w:t>
      </w:r>
    </w:p>
    <w:p w14:paraId="21F0FA77"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Cordia New">
    <w:panose1 w:val="020B0304020202020204"/>
    <w:charset w:val="00"/>
    <w:family w:val="auto"/>
    <w:pitch w:val="variable"/>
    <w:sig w:usb0="81000003" w:usb1="00000000" w:usb2="00000000" w:usb3="00000000" w:csb0="0001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359F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9F9"/>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0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6CBB8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359F9"/>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0359F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359F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359F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0359F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359F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59F9"/>
  </w:style>
  <w:style w:type="character" w:customStyle="1" w:styleId="Heading1Char">
    <w:name w:val="Heading 1 Char"/>
    <w:aliases w:val="Pocket Char"/>
    <w:basedOn w:val="DefaultParagraphFont"/>
    <w:link w:val="Heading1"/>
    <w:uiPriority w:val="9"/>
    <w:rsid w:val="000359F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359F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359F9"/>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0359F9"/>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0359F9"/>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Intense Emphasis11,Citation Char Char Char,Bold Cite Char,ci,Intense Emphasis111,Bo"/>
    <w:basedOn w:val="DefaultParagraphFont"/>
    <w:uiPriority w:val="1"/>
    <w:qFormat/>
    <w:rsid w:val="000359F9"/>
    <w:rPr>
      <w:b w:val="0"/>
      <w:sz w:val="22"/>
      <w:u w:val="single"/>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20"/>
    <w:qFormat/>
    <w:rsid w:val="000359F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359F9"/>
    <w:rPr>
      <w:color w:val="auto"/>
      <w:u w:val="none"/>
    </w:rPr>
  </w:style>
  <w:style w:type="character" w:styleId="Hyperlink">
    <w:name w:val="Hyperlink"/>
    <w:basedOn w:val="DefaultParagraphFont"/>
    <w:uiPriority w:val="99"/>
    <w:semiHidden/>
    <w:unhideWhenUsed/>
    <w:rsid w:val="000359F9"/>
    <w:rPr>
      <w:color w:val="auto"/>
      <w:u w:val="none"/>
    </w:rPr>
  </w:style>
  <w:style w:type="paragraph" w:styleId="DocumentMap">
    <w:name w:val="Document Map"/>
    <w:basedOn w:val="Normal"/>
    <w:link w:val="DocumentMapChar"/>
    <w:uiPriority w:val="99"/>
    <w:semiHidden/>
    <w:unhideWhenUsed/>
    <w:rsid w:val="000359F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359F9"/>
    <w:rPr>
      <w:rFonts w:ascii="Lucida Grande" w:hAnsi="Lucida Grande" w:cs="Lucida Grande"/>
    </w:rPr>
  </w:style>
  <w:style w:type="paragraph" w:customStyle="1" w:styleId="textbold">
    <w:name w:val="text bold"/>
    <w:basedOn w:val="Normal"/>
    <w:link w:val="Emphasis"/>
    <w:uiPriority w:val="20"/>
    <w:qFormat/>
    <w:rsid w:val="000359F9"/>
    <w:pPr>
      <w:ind w:left="720"/>
      <w:jc w:val="both"/>
    </w:pPr>
    <w:rPr>
      <w:b/>
      <w:iCs/>
      <w:sz w:val="22"/>
      <w:u w:val="single"/>
    </w:rPr>
  </w:style>
  <w:style w:type="character" w:customStyle="1" w:styleId="s1">
    <w:name w:val="s1"/>
    <w:basedOn w:val="DefaultParagraphFont"/>
    <w:rsid w:val="00035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022B59-D4B3-C245-B13D-810D907A7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2785</Words>
  <Characters>15880</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18628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1</cp:revision>
  <dcterms:created xsi:type="dcterms:W3CDTF">2017-08-15T06:21:00Z</dcterms:created>
  <dcterms:modified xsi:type="dcterms:W3CDTF">2017-08-15T06:21:00Z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